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4"/>
      </w:tblGrid>
      <w:tr w:rsidR="00DF102A">
        <w:tc>
          <w:tcPr>
            <w:tcW w:w="5103" w:type="dxa"/>
          </w:tcPr>
          <w:p w:rsidR="00DF102A" w:rsidRDefault="00DF102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:rsidR="00DF102A" w:rsidRDefault="00DF10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F102A" w:rsidRDefault="00DF102A" w:rsidP="00DF10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РОС</w:t>
      </w:r>
      <w:r>
        <w:rPr>
          <w:rFonts w:ascii="Arial" w:hAnsi="Arial" w:cs="Arial"/>
          <w:b/>
          <w:bCs/>
          <w:sz w:val="20"/>
          <w:szCs w:val="20"/>
        </w:rPr>
        <w:t>СИЙСКАЯ ФЕДЕРАЦИЯ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ФЕДЕРАЛЬНЫЙ ЗАКОН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О ВНЕСЕНИИ ИЗМЕНЕНИЙ В ТРУДОВОЙ КОДЕКС РОССИЙСКОЙ ФЕДЕРАЦИИ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Принят</w:t>
      </w:r>
      <w:proofErr w:type="gramEnd"/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Государственной Думой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 июня 2017 года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Одобрен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Советом Федерации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 июня 2017 года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Внести в Трудовой </w:t>
      </w:r>
      <w:hyperlink r:id="rId5" w:history="1">
        <w:r>
          <w:rPr>
            <w:rFonts w:ascii="Arial" w:hAnsi="Arial" w:cs="Arial"/>
            <w:color w:val="0000FF"/>
            <w:sz w:val="20"/>
            <w:szCs w:val="20"/>
          </w:rPr>
          <w:t>кодекс</w:t>
        </w:r>
      </w:hyperlink>
      <w:r>
        <w:rPr>
          <w:rFonts w:ascii="Arial" w:hAnsi="Arial" w:cs="Arial"/>
          <w:sz w:val="20"/>
          <w:szCs w:val="20"/>
        </w:rPr>
        <w:t xml:space="preserve"> Российской Федерации следующие изменения: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в </w:t>
      </w:r>
      <w:hyperlink r:id="rId6" w:history="1">
        <w:r>
          <w:rPr>
            <w:rFonts w:ascii="Arial" w:hAnsi="Arial" w:cs="Arial"/>
            <w:color w:val="0000FF"/>
            <w:sz w:val="20"/>
            <w:szCs w:val="20"/>
          </w:rPr>
          <w:t>статье 93</w:t>
        </w:r>
      </w:hyperlink>
      <w:r>
        <w:rPr>
          <w:rFonts w:ascii="Arial" w:hAnsi="Arial" w:cs="Arial"/>
          <w:sz w:val="20"/>
          <w:szCs w:val="20"/>
        </w:rPr>
        <w:t>: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а) </w:t>
      </w:r>
      <w:hyperlink r:id="rId7" w:history="1">
        <w:r>
          <w:rPr>
            <w:rFonts w:ascii="Arial" w:hAnsi="Arial" w:cs="Arial"/>
            <w:color w:val="0000FF"/>
            <w:sz w:val="20"/>
            <w:szCs w:val="20"/>
          </w:rPr>
          <w:t>часть первую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"По соглашению сторон трудового договора работнику как при приеме на работу, так и впоследствии может устанавливаться неполное рабочее время (неполный рабочий день (смена) и (или) неполная рабочая неделя, в том числе с разделением рабочего дня на части). Неполное рабочее время может устанавливаться как без ограничения срока, так и на любой согласованный сторонами трудового договора срок</w:t>
      </w:r>
      <w:proofErr w:type="gramStart"/>
      <w:r>
        <w:rPr>
          <w:rFonts w:ascii="Arial" w:hAnsi="Arial" w:cs="Arial"/>
          <w:sz w:val="20"/>
          <w:szCs w:val="20"/>
        </w:rPr>
        <w:t>.";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End"/>
      <w:r>
        <w:rPr>
          <w:rFonts w:ascii="Arial" w:hAnsi="Arial" w:cs="Arial"/>
          <w:sz w:val="20"/>
          <w:szCs w:val="20"/>
        </w:rPr>
        <w:t xml:space="preserve">б) </w:t>
      </w:r>
      <w:hyperlink r:id="rId8" w:history="1">
        <w:r>
          <w:rPr>
            <w:rFonts w:ascii="Arial" w:hAnsi="Arial" w:cs="Arial"/>
            <w:color w:val="0000FF"/>
            <w:sz w:val="20"/>
            <w:szCs w:val="20"/>
          </w:rPr>
          <w:t>дополнить</w:t>
        </w:r>
      </w:hyperlink>
      <w:r>
        <w:rPr>
          <w:rFonts w:ascii="Arial" w:hAnsi="Arial" w:cs="Arial"/>
          <w:sz w:val="20"/>
          <w:szCs w:val="20"/>
        </w:rPr>
        <w:t xml:space="preserve"> новой частью второй следующего содержания: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"Работодатель обязан устанавливать неполное рабочее время по просьбе беременной женщины, одного из родителей (опекуна, попечителя), имеющего ребенка в возрасте до четырнадцати лет (ребенка-инвалида в возрасте до восемнадцати лет), а также лица, осуществляющего уход за больным членом семьи в соответствии с медицинским заключением, выданным в порядке, установленном федеральными законами и иными нормативными правовыми актами Российской Федерации.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При этом неполное рабочее время устанавливается на удобный для работника срок, но не более чем на период наличия обстоятельств, явившихся основанием для обязательного установления неполного рабочего времени, а режим рабочего времени и времени отдыха, включая продолжительность ежедневной работы (смены), время начала и окончания работы, время перерывов в работе, устанавливается в соответствии с пожеланиями работника с учетом условий производства (работы) у</w:t>
      </w:r>
      <w:proofErr w:type="gramEnd"/>
      <w:r>
        <w:rPr>
          <w:rFonts w:ascii="Arial" w:hAnsi="Arial" w:cs="Arial"/>
          <w:sz w:val="20"/>
          <w:szCs w:val="20"/>
        </w:rPr>
        <w:t xml:space="preserve"> данного работодателя</w:t>
      </w:r>
      <w:proofErr w:type="gramStart"/>
      <w:r>
        <w:rPr>
          <w:rFonts w:ascii="Arial" w:hAnsi="Arial" w:cs="Arial"/>
          <w:sz w:val="20"/>
          <w:szCs w:val="20"/>
        </w:rPr>
        <w:t>.";</w:t>
      </w:r>
      <w:proofErr w:type="gramEnd"/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в) </w:t>
      </w:r>
      <w:hyperlink r:id="rId9" w:history="1">
        <w:r>
          <w:rPr>
            <w:rFonts w:ascii="Arial" w:hAnsi="Arial" w:cs="Arial"/>
            <w:color w:val="0000FF"/>
            <w:sz w:val="20"/>
            <w:szCs w:val="20"/>
          </w:rPr>
          <w:t>части вторую</w:t>
        </w:r>
      </w:hyperlink>
      <w:r>
        <w:rPr>
          <w:rFonts w:ascii="Arial" w:hAnsi="Arial" w:cs="Arial"/>
          <w:sz w:val="20"/>
          <w:szCs w:val="20"/>
        </w:rPr>
        <w:t xml:space="preserve"> и </w:t>
      </w:r>
      <w:hyperlink r:id="rId10" w:history="1">
        <w:r>
          <w:rPr>
            <w:rFonts w:ascii="Arial" w:hAnsi="Arial" w:cs="Arial"/>
            <w:color w:val="0000FF"/>
            <w:sz w:val="20"/>
            <w:szCs w:val="20"/>
          </w:rPr>
          <w:t>третью</w:t>
        </w:r>
      </w:hyperlink>
      <w:r>
        <w:rPr>
          <w:rFonts w:ascii="Arial" w:hAnsi="Arial" w:cs="Arial"/>
          <w:sz w:val="20"/>
          <w:szCs w:val="20"/>
        </w:rPr>
        <w:t xml:space="preserve"> считать соответственно частями третьей и четвертой;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</w:t>
      </w:r>
      <w:hyperlink r:id="rId11" w:history="1">
        <w:r>
          <w:rPr>
            <w:rFonts w:ascii="Arial" w:hAnsi="Arial" w:cs="Arial"/>
            <w:color w:val="0000FF"/>
            <w:sz w:val="20"/>
            <w:szCs w:val="20"/>
          </w:rPr>
          <w:t>статью 101</w:t>
        </w:r>
      </w:hyperlink>
      <w:r>
        <w:rPr>
          <w:rFonts w:ascii="Arial" w:hAnsi="Arial" w:cs="Arial"/>
          <w:sz w:val="20"/>
          <w:szCs w:val="20"/>
        </w:rPr>
        <w:t xml:space="preserve"> дополнить частью второй следующего содержания: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"Работнику, работающему на условиях неполного рабочего времени, ненормированный рабочий день может устанавливаться, только если соглашением сторон трудового договора установлена неполная рабочая неделя, но с полным рабочим днем (сменой)</w:t>
      </w:r>
      <w:proofErr w:type="gramStart"/>
      <w:r>
        <w:rPr>
          <w:rFonts w:ascii="Arial" w:hAnsi="Arial" w:cs="Arial"/>
          <w:sz w:val="20"/>
          <w:szCs w:val="20"/>
        </w:rPr>
        <w:t>."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</w:t>
      </w:r>
      <w:hyperlink r:id="rId12" w:history="1">
        <w:r>
          <w:rPr>
            <w:rFonts w:ascii="Arial" w:hAnsi="Arial" w:cs="Arial"/>
            <w:color w:val="0000FF"/>
            <w:sz w:val="20"/>
            <w:szCs w:val="20"/>
          </w:rPr>
          <w:t>часть первую статьи 108</w:t>
        </w:r>
      </w:hyperlink>
      <w:r>
        <w:rPr>
          <w:rFonts w:ascii="Arial" w:hAnsi="Arial" w:cs="Arial"/>
          <w:sz w:val="20"/>
          <w:szCs w:val="20"/>
        </w:rPr>
        <w:t xml:space="preserve"> дополнить предложением следующего содержания: "Правилами внутреннего трудового распорядка или трудовым договором может быть предусмотрено, что указанный перерыв может не предоставляться работнику, если установленная для него продолжительность ежедневной работы (смены) не превышает четырех часов</w:t>
      </w:r>
      <w:proofErr w:type="gramStart"/>
      <w:r>
        <w:rPr>
          <w:rFonts w:ascii="Arial" w:hAnsi="Arial" w:cs="Arial"/>
          <w:sz w:val="20"/>
          <w:szCs w:val="20"/>
        </w:rPr>
        <w:t>.";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End"/>
      <w:r>
        <w:rPr>
          <w:rFonts w:ascii="Arial" w:hAnsi="Arial" w:cs="Arial"/>
          <w:sz w:val="20"/>
          <w:szCs w:val="20"/>
        </w:rPr>
        <w:t xml:space="preserve">4) </w:t>
      </w:r>
      <w:hyperlink r:id="rId13" w:history="1">
        <w:r>
          <w:rPr>
            <w:rFonts w:ascii="Arial" w:hAnsi="Arial" w:cs="Arial"/>
            <w:color w:val="0000FF"/>
            <w:sz w:val="20"/>
            <w:szCs w:val="20"/>
          </w:rPr>
          <w:t>статью 152</w:t>
        </w:r>
      </w:hyperlink>
      <w:r>
        <w:rPr>
          <w:rFonts w:ascii="Arial" w:hAnsi="Arial" w:cs="Arial"/>
          <w:sz w:val="20"/>
          <w:szCs w:val="20"/>
        </w:rPr>
        <w:t xml:space="preserve"> дополнить частью третьей следующего содержания: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"Работа, произведенная сверх нормы рабочего времени в выходные и нерабочие праздничные дни и оплаченная в повышенном размере либо компенсированная предоставлением другого дня отдыха в соответствии со статьей 153 настоящего Кодекса, не учитывается при определении продолжительности сверхурочной работы, подлежащей оплате в повышенном размере в соответствии с частью первой настоящей статьи</w:t>
      </w:r>
      <w:proofErr w:type="gramStart"/>
      <w:r>
        <w:rPr>
          <w:rFonts w:ascii="Arial" w:hAnsi="Arial" w:cs="Arial"/>
          <w:sz w:val="20"/>
          <w:szCs w:val="20"/>
        </w:rPr>
        <w:t>.";</w:t>
      </w:r>
      <w:proofErr w:type="gramEnd"/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5) в </w:t>
      </w:r>
      <w:hyperlink r:id="rId14" w:history="1">
        <w:r>
          <w:rPr>
            <w:rFonts w:ascii="Arial" w:hAnsi="Arial" w:cs="Arial"/>
            <w:color w:val="0000FF"/>
            <w:sz w:val="20"/>
            <w:szCs w:val="20"/>
          </w:rPr>
          <w:t>статье 153</w:t>
        </w:r>
      </w:hyperlink>
      <w:r>
        <w:rPr>
          <w:rFonts w:ascii="Arial" w:hAnsi="Arial" w:cs="Arial"/>
          <w:sz w:val="20"/>
          <w:szCs w:val="20"/>
        </w:rPr>
        <w:t>: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а) </w:t>
      </w:r>
      <w:hyperlink r:id="rId15" w:history="1">
        <w:r>
          <w:rPr>
            <w:rFonts w:ascii="Arial" w:hAnsi="Arial" w:cs="Arial"/>
            <w:color w:val="0000FF"/>
            <w:sz w:val="20"/>
            <w:szCs w:val="20"/>
          </w:rPr>
          <w:t>дополнить</w:t>
        </w:r>
      </w:hyperlink>
      <w:r>
        <w:rPr>
          <w:rFonts w:ascii="Arial" w:hAnsi="Arial" w:cs="Arial"/>
          <w:sz w:val="20"/>
          <w:szCs w:val="20"/>
        </w:rPr>
        <w:t xml:space="preserve"> новой частью третьей следующего содержания: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"Оплата в повышенном размере производится всем работникам за часы, фактически отработанные в выходной или нерабочий праздничный день. Если на выходной или нерабочий праздничный день приходится часть рабочего дня (смены), в повышенном размере оплачиваются часы, фактически отработанные в выходной или нерабочий праздничный день (от 0 часов до 24 часов)</w:t>
      </w:r>
      <w:proofErr w:type="gramStart"/>
      <w:r>
        <w:rPr>
          <w:rFonts w:ascii="Arial" w:hAnsi="Arial" w:cs="Arial"/>
          <w:sz w:val="20"/>
          <w:szCs w:val="20"/>
        </w:rPr>
        <w:t>."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б) </w:t>
      </w:r>
      <w:hyperlink r:id="rId16" w:history="1">
        <w:r>
          <w:rPr>
            <w:rFonts w:ascii="Arial" w:hAnsi="Arial" w:cs="Arial"/>
            <w:color w:val="0000FF"/>
            <w:sz w:val="20"/>
            <w:szCs w:val="20"/>
          </w:rPr>
          <w:t>части третью</w:t>
        </w:r>
      </w:hyperlink>
      <w:r>
        <w:rPr>
          <w:rFonts w:ascii="Arial" w:hAnsi="Arial" w:cs="Arial"/>
          <w:sz w:val="20"/>
          <w:szCs w:val="20"/>
        </w:rPr>
        <w:t xml:space="preserve"> и </w:t>
      </w:r>
      <w:hyperlink r:id="rId17" w:history="1">
        <w:r>
          <w:rPr>
            <w:rFonts w:ascii="Arial" w:hAnsi="Arial" w:cs="Arial"/>
            <w:color w:val="0000FF"/>
            <w:sz w:val="20"/>
            <w:szCs w:val="20"/>
          </w:rPr>
          <w:t>четвертую</w:t>
        </w:r>
      </w:hyperlink>
      <w:r>
        <w:rPr>
          <w:rFonts w:ascii="Arial" w:hAnsi="Arial" w:cs="Arial"/>
          <w:sz w:val="20"/>
          <w:szCs w:val="20"/>
        </w:rPr>
        <w:t xml:space="preserve"> считать соответственно частями четвертой и пятой;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</w:t>
      </w:r>
      <w:hyperlink r:id="rId18" w:history="1">
        <w:r>
          <w:rPr>
            <w:rFonts w:ascii="Arial" w:hAnsi="Arial" w:cs="Arial"/>
            <w:color w:val="0000FF"/>
            <w:sz w:val="20"/>
            <w:szCs w:val="20"/>
          </w:rPr>
          <w:t>статью 279</w:t>
        </w:r>
      </w:hyperlink>
      <w:r>
        <w:rPr>
          <w:rFonts w:ascii="Arial" w:hAnsi="Arial" w:cs="Arial"/>
          <w:sz w:val="20"/>
          <w:szCs w:val="20"/>
        </w:rPr>
        <w:t xml:space="preserve"> после слов "пунктом 2" дополнить словами "части первой".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Президент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Российской Федерации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В.</w:t>
      </w:r>
      <w:r>
        <w:rPr>
          <w:rFonts w:ascii="Arial" w:hAnsi="Arial" w:cs="Arial"/>
          <w:sz w:val="20"/>
          <w:szCs w:val="20"/>
        </w:rPr>
        <w:t xml:space="preserve"> 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ПУТИН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Москва, Кремль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 июня 2017 года</w:t>
      </w:r>
    </w:p>
    <w:p w:rsidR="00DF102A" w:rsidRDefault="00DF102A" w:rsidP="00DF10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 125-ФЗ</w:t>
      </w:r>
    </w:p>
    <w:sectPr w:rsidR="00DF102A" w:rsidSect="00DF102A">
      <w:pgSz w:w="11906" w:h="16838"/>
      <w:pgMar w:top="426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02A"/>
    <w:rsid w:val="0073327B"/>
    <w:rsid w:val="00DF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622D57CB5739E3F22FD51B3B20236058DC8BB5E95C7D0F249B158A5CEF304478B43A5B179CC85D568qEL" TargetMode="External"/><Relationship Id="rId13" Type="http://schemas.openxmlformats.org/officeDocument/2006/relationships/hyperlink" Target="consultantplus://offline/ref=3622D57CB5739E3F22FD51B3B20236058DC8BB5E95C7D0F249B158A5CEF304478B43A5B7786CqEL" TargetMode="External"/><Relationship Id="rId18" Type="http://schemas.openxmlformats.org/officeDocument/2006/relationships/hyperlink" Target="consultantplus://offline/ref=3622D57CB5739E3F22FD51B3B20236058DC8BB5E95C7D0F249B158A5CEF304478B43A5B179C468qA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622D57CB5739E3F22FD51B3B20236058DC8BB5E95C7D0F249B158A5CEF304478B43A5B57C6Cq8L" TargetMode="External"/><Relationship Id="rId12" Type="http://schemas.openxmlformats.org/officeDocument/2006/relationships/hyperlink" Target="consultantplus://offline/ref=3622D57CB5739E3F22FD51B3B20236058DC8BB5E95C7D0F249B158A5CEF304478B43A5B179CC84DB68qAL" TargetMode="External"/><Relationship Id="rId17" Type="http://schemas.openxmlformats.org/officeDocument/2006/relationships/hyperlink" Target="consultantplus://offline/ref=3622D57CB5739E3F22FD51B3B20236058DC8BB5E95C7D0F249B158A5CEF304478B43A5B17DCB68q5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3622D57CB5739E3F22FD51B3B20236058DC8BB5E95C7D0F249B158A5CEF304478B43A5B77B6CqDL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622D57CB5739E3F22FD51B3B20236058DC8BB5E95C7D0F249B158A5CEF304478B43A5B179CC85D568qEL" TargetMode="External"/><Relationship Id="rId11" Type="http://schemas.openxmlformats.org/officeDocument/2006/relationships/hyperlink" Target="consultantplus://offline/ref=3622D57CB5739E3F22FD51B3B20236058DC8BB5E95C7D0F249B158A5CEF304478B43A5B179CC84DE68qDL" TargetMode="External"/><Relationship Id="rId5" Type="http://schemas.openxmlformats.org/officeDocument/2006/relationships/hyperlink" Target="consultantplus://offline/ref=3622D57CB5739E3F22FD51B3B20236058DC8BB5E95C7D0F249B158A5CE6Fq3L" TargetMode="External"/><Relationship Id="rId15" Type="http://schemas.openxmlformats.org/officeDocument/2006/relationships/hyperlink" Target="consultantplus://offline/ref=3622D57CB5739E3F22FD51B3B20236058DC8BB5E95C7D0F249B158A5CEF304478B43A5B7786Cq9L" TargetMode="External"/><Relationship Id="rId10" Type="http://schemas.openxmlformats.org/officeDocument/2006/relationships/hyperlink" Target="consultantplus://offline/ref=3622D57CB5739E3F22FD51B3B20236058DC8BB5E95C7D0F249B158A5CEF304478B43A5B179CC85D468q9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622D57CB5739E3F22FD51B3B20236058DC8BB5E95C7D0F249B158A5CEF304478B43A5B179CC85D568q0L" TargetMode="External"/><Relationship Id="rId14" Type="http://schemas.openxmlformats.org/officeDocument/2006/relationships/hyperlink" Target="consultantplus://offline/ref=3622D57CB5739E3F22FD51B3B20236058DC8BB5E95C7D0F249B158A5CEF304478B43A5B7786Cq9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1</cp:revision>
  <dcterms:created xsi:type="dcterms:W3CDTF">2017-06-29T11:43:00Z</dcterms:created>
  <dcterms:modified xsi:type="dcterms:W3CDTF">2017-06-29T11:47:00Z</dcterms:modified>
</cp:coreProperties>
</file>